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微软雅黑" w:cs="Times New Roman"/>
          <w:i w:val="0"/>
          <w:caps w:val="0"/>
          <w:color w:val="000000"/>
          <w:spacing w:val="0"/>
          <w:sz w:val="32"/>
          <w:szCs w:val="32"/>
        </w:rPr>
        <w:t>Attachment 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微软雅黑" w:cs="Times New Roman"/>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sz w:val="32"/>
          <w:szCs w:val="32"/>
        </w:rPr>
      </w:pPr>
      <w:r>
        <w:rPr>
          <w:rStyle w:val="5"/>
          <w:rFonts w:hint="default" w:ascii="Times New Roman" w:hAnsi="Times New Roman" w:eastAsia="微软雅黑" w:cs="Times New Roman"/>
          <w:i w:val="0"/>
          <w:caps w:val="0"/>
          <w:color w:val="000000"/>
          <w:spacing w:val="0"/>
          <w:sz w:val="32"/>
          <w:szCs w:val="32"/>
        </w:rPr>
        <w:t>List of Authorized Local Foreign Affairs Offices</w:t>
      </w:r>
      <w:r>
        <w:rPr>
          <w:rStyle w:val="5"/>
          <w:rFonts w:hint="eastAsia" w:ascii="Times New Roman" w:hAnsi="Times New Roman" w:eastAsia="微软雅黑" w:cs="Times New Roman"/>
          <w:i w:val="0"/>
          <w:caps w:val="0"/>
          <w:color w:val="000000"/>
          <w:spacing w:val="0"/>
          <w:sz w:val="32"/>
          <w:szCs w:val="32"/>
          <w:lang w:val="en-US" w:eastAsia="zh-CN"/>
        </w:rPr>
        <w:t xml:space="preserve"> </w:t>
      </w:r>
      <w:bookmarkStart w:id="0" w:name="_GoBack"/>
      <w:bookmarkEnd w:id="0"/>
      <w:r>
        <w:rPr>
          <w:rStyle w:val="5"/>
          <w:rFonts w:hint="default" w:ascii="Times New Roman" w:hAnsi="Times New Roman" w:eastAsia="微软雅黑" w:cs="Times New Roman"/>
          <w:i w:val="0"/>
          <w:caps w:val="0"/>
          <w:color w:val="000000"/>
          <w:spacing w:val="0"/>
          <w:sz w:val="32"/>
          <w:szCs w:val="32"/>
        </w:rPr>
        <w:t>for issuing APOSTILLE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Style w:val="5"/>
          <w:rFonts w:hint="default" w:ascii="Times New Roman" w:hAnsi="Times New Roman" w:eastAsia="微软雅黑" w:cs="Times New Roman"/>
          <w:i w:val="0"/>
          <w:caps w:val="0"/>
          <w:color w:val="000000"/>
          <w:spacing w:val="0"/>
          <w:sz w:val="32"/>
          <w:szCs w:val="32"/>
        </w:rPr>
      </w:pPr>
      <w:r>
        <w:rPr>
          <w:rStyle w:val="5"/>
          <w:rFonts w:hint="default" w:ascii="Times New Roman" w:hAnsi="Times New Roman" w:eastAsia="微软雅黑" w:cs="Times New Roman"/>
          <w:i w:val="0"/>
          <w:caps w:val="0"/>
          <w:color w:val="000000"/>
          <w:spacing w:val="0"/>
          <w:sz w:val="32"/>
          <w:szCs w:val="32"/>
        </w:rPr>
        <w:t>(31 in total)</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Style w:val="5"/>
          <w:rFonts w:hint="default" w:ascii="Times New Roman" w:hAnsi="Times New Roman" w:eastAsia="微软雅黑" w:cs="Times New Roman"/>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sz w:val="32"/>
          <w:szCs w:val="32"/>
        </w:rPr>
      </w:pP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Anhui Province, Chongqing City, Fujian Province, Guangdong Province, Guangxi Zhuang Autonomous Region, Guizhou Province, Henan Province, Heilongjiang Province, Hubei Province, Hunan Province, Hainan Province, Jilin Province, Jiangsu Province, Jiangxi Province, Liaoning Province, Sichuan Province, Shandong Province, Shanghai City, Shaanxi Province, Yunnan Province, Zhejiang Province, Gansu Province, Hebei Province, Shanxi Province, Inner Mongolia Autonomous Region, Changchun City, Harbin City, Ningbo City, Jinan City, Qingdao City, Shenzhen City</w:t>
      </w:r>
    </w:p>
    <w:p>
      <w:pPr>
        <w:keepNext w:val="0"/>
        <w:keepLines w:val="0"/>
        <w:pageBreakBefore w:val="0"/>
        <w:kinsoku/>
        <w:wordWrap/>
        <w:overflowPunct/>
        <w:topLinePunct w:val="0"/>
        <w:autoSpaceDE/>
        <w:autoSpaceDN/>
        <w:bidi w:val="0"/>
        <w:adjustRightInd/>
        <w:snapToGrid/>
        <w:spacing w:line="240" w:lineRule="auto"/>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lYjM1Y2RiYzRkMjNkMTc1Yjg5MGFkYTlhM2M3M2UifQ=="/>
  </w:docVars>
  <w:rsids>
    <w:rsidRoot w:val="681F7547"/>
    <w:rsid w:val="681F7547"/>
    <w:rsid w:val="7D214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2023-10-26T04:23:00Z</dcterms:created>
  <dc:creator>李泽</dc:creator>
  <cp:lastModifiedBy>李泽</cp:lastModifiedBy>
  <dcterms:modified xsi:type="dcterms:W3CDTF">2023-10-26T04:28:57Z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6A6391505933438999F72A8D86EE579D_11</vt:lpwstr>
  </property>
</Properties>
</file>